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F5871">
      <w:pPr>
        <w:pageBreakBefore w:val="0"/>
        <w:bidi w:val="0"/>
        <w:snapToGrid w:val="0"/>
        <w:spacing w:afterLines="0" w:line="360" w:lineRule="auto"/>
        <w:jc w:val="center"/>
        <w:outlineLvl w:val="0"/>
        <w:rPr>
          <w:rFonts w:ascii="仿宋" w:hAnsi="仿宋" w:eastAsia="仿宋" w:cs="仿宋"/>
          <w:b/>
          <w:sz w:val="40"/>
          <w:szCs w:val="40"/>
          <w:highlight w:val="none"/>
        </w:rPr>
      </w:pPr>
      <w:bookmarkStart w:id="0" w:name="_Toc99301424"/>
      <w:r>
        <w:rPr>
          <w:rFonts w:hint="eastAsia" w:ascii="仿宋" w:hAnsi="仿宋" w:eastAsia="仿宋" w:cs="仿宋"/>
          <w:b/>
          <w:sz w:val="40"/>
          <w:szCs w:val="40"/>
          <w:highlight w:val="none"/>
        </w:rPr>
        <w:t>第五章   采购需求</w:t>
      </w:r>
      <w:bookmarkEnd w:id="0"/>
    </w:p>
    <w:p w14:paraId="2C0DA2C4">
      <w:pPr>
        <w:pageBreakBefore w:val="0"/>
        <w:bidi w:val="0"/>
        <w:snapToGrid w:val="0"/>
        <w:spacing w:afterLines="0" w:line="360" w:lineRule="auto"/>
        <w:contextualSpacing/>
        <w:rPr>
          <w:rFonts w:hint="eastAsia" w:ascii="黑体" w:hAnsi="黑体" w:eastAsia="黑体" w:cs="黑体"/>
          <w:sz w:val="24"/>
          <w:szCs w:val="24"/>
          <w:highlight w:val="none"/>
        </w:rPr>
      </w:pPr>
      <w:r>
        <w:rPr>
          <w:rFonts w:hint="eastAsia" w:ascii="黑体" w:hAnsi="黑体" w:eastAsia="黑体" w:cs="黑体"/>
          <w:sz w:val="24"/>
          <w:szCs w:val="24"/>
          <w:highlight w:val="none"/>
        </w:rPr>
        <w:t>说明：</w:t>
      </w:r>
    </w:p>
    <w:p w14:paraId="2D61EE1E">
      <w:pPr>
        <w:pageBreakBefore w:val="0"/>
        <w:bidi w:val="0"/>
        <w:snapToGrid w:val="0"/>
        <w:spacing w:afterLines="0" w:line="360" w:lineRule="auto"/>
        <w:contextualSpacing/>
        <w:rPr>
          <w:rFonts w:hint="eastAsia" w:ascii="黑体" w:hAnsi="黑体" w:eastAsia="黑体" w:cs="黑体"/>
          <w:sz w:val="24"/>
          <w:szCs w:val="24"/>
          <w:highlight w:val="none"/>
        </w:rPr>
      </w:pPr>
      <w:bookmarkStart w:id="1" w:name="_Hlk167284587"/>
      <w:r>
        <w:rPr>
          <w:rFonts w:hint="eastAsia" w:ascii="黑体" w:hAnsi="黑体" w:eastAsia="黑体" w:cs="黑体"/>
          <w:sz w:val="24"/>
          <w:szCs w:val="24"/>
          <w:highlight w:val="none"/>
        </w:rPr>
        <w:t>1. 当采购项目涉及政务信息系统时，采购需求应当符合《政务信息系统政府采购管理暂行办法》（财库〔2017〕210号）的相关要求。</w:t>
      </w:r>
    </w:p>
    <w:p w14:paraId="5DDE5D2F">
      <w:pPr>
        <w:pageBreakBefore w:val="0"/>
        <w:bidi w:val="0"/>
        <w:snapToGrid w:val="0"/>
        <w:spacing w:afterLines="0" w:line="360" w:lineRule="auto"/>
        <w:contextualSpacing/>
        <w:rPr>
          <w:rFonts w:hint="eastAsia" w:ascii="黑体" w:hAnsi="黑体" w:eastAsia="黑体" w:cs="黑体"/>
          <w:sz w:val="24"/>
          <w:szCs w:val="24"/>
          <w:highlight w:val="none"/>
        </w:rPr>
      </w:pPr>
      <w:bookmarkStart w:id="2" w:name="_Hlk168431603"/>
      <w:r>
        <w:rPr>
          <w:rFonts w:hint="eastAsia" w:ascii="黑体" w:hAnsi="黑体" w:eastAsia="黑体" w:cs="黑体"/>
          <w:sz w:val="24"/>
          <w:szCs w:val="24"/>
          <w:highlight w:val="none"/>
        </w:rPr>
        <w:t>2. 采购人及采购代理机构应关注财政部门会同有关部门制定发布的需求标准，结合具体应用场景，根据对应《需求标准》确定采购需求。</w:t>
      </w:r>
    </w:p>
    <w:p w14:paraId="59DAD625">
      <w:pPr>
        <w:pageBreakBefore w:val="0"/>
        <w:bidi w:val="0"/>
        <w:snapToGrid w:val="0"/>
        <w:spacing w:afterLines="0" w:line="360" w:lineRule="auto"/>
        <w:contextualSpacing/>
        <w:rPr>
          <w:rFonts w:hint="eastAsia" w:ascii="黑体" w:hAnsi="黑体" w:eastAsia="黑体" w:cs="黑体"/>
          <w:sz w:val="24"/>
          <w:szCs w:val="24"/>
          <w:highlight w:val="none"/>
        </w:rPr>
      </w:pPr>
      <w:r>
        <w:rPr>
          <w:rFonts w:hint="eastAsia" w:ascii="黑体" w:hAnsi="黑体" w:eastAsia="黑体" w:cs="黑体"/>
          <w:sz w:val="24"/>
          <w:szCs w:val="24"/>
          <w:highlight w:val="none"/>
        </w:rPr>
        <w:t>已发布的需求标准如下：</w:t>
      </w:r>
    </w:p>
    <w:p w14:paraId="02F67D17">
      <w:pPr>
        <w:pageBreakBefore w:val="0"/>
        <w:bidi w:val="0"/>
        <w:snapToGrid w:val="0"/>
        <w:spacing w:afterLines="0" w:line="360" w:lineRule="auto"/>
        <w:contextualSpacing/>
        <w:rPr>
          <w:rFonts w:hint="eastAsia" w:ascii="黑体" w:hAnsi="黑体" w:eastAsia="黑体" w:cs="黑体"/>
          <w:sz w:val="24"/>
          <w:szCs w:val="24"/>
          <w:highlight w:val="none"/>
        </w:rPr>
      </w:pPr>
      <w:r>
        <w:rPr>
          <w:rFonts w:hint="eastAsia" w:ascii="黑体" w:hAnsi="黑体" w:eastAsia="黑体" w:cs="黑体"/>
          <w:sz w:val="24"/>
          <w:szCs w:val="24"/>
          <w:highlight w:val="none"/>
        </w:rPr>
        <w:t>《关于印发〈商品包装政府采购需求标准（试行）〉、〈快递包装政府采购需求标准（试行）〉的通知》（财办库﹝2020﹞123号））</w:t>
      </w:r>
    </w:p>
    <w:p w14:paraId="48AB399B">
      <w:pPr>
        <w:pStyle w:val="6"/>
        <w:pageBreakBefore w:val="0"/>
        <w:bidi w:val="0"/>
        <w:snapToGrid w:val="0"/>
        <w:spacing w:before="0" w:beforeAutospacing="0" w:after="0" w:afterLines="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《绿色数据中心政府采购需求标准（试行）》（财库〔2023〕7号）</w:t>
      </w:r>
    </w:p>
    <w:p w14:paraId="56248685">
      <w:pPr>
        <w:pStyle w:val="6"/>
        <w:pageBreakBefore w:val="0"/>
        <w:bidi w:val="0"/>
        <w:snapToGrid w:val="0"/>
        <w:spacing w:before="0" w:beforeAutospacing="0" w:after="0" w:afterLines="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《台式计算机政府采购需求标准（2023年版）》（财库〔2023〕29号）</w:t>
      </w:r>
    </w:p>
    <w:p w14:paraId="5F9F6C83">
      <w:pPr>
        <w:pStyle w:val="6"/>
        <w:pageBreakBefore w:val="0"/>
        <w:bidi w:val="0"/>
        <w:snapToGrid w:val="0"/>
        <w:spacing w:before="0" w:beforeAutospacing="0" w:after="0" w:afterLines="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《便携式计算机政府采购需求标准（2023年版）》（财库〔2023〕30号）</w:t>
      </w:r>
    </w:p>
    <w:p w14:paraId="21891F64">
      <w:pPr>
        <w:pStyle w:val="6"/>
        <w:pageBreakBefore w:val="0"/>
        <w:bidi w:val="0"/>
        <w:snapToGrid w:val="0"/>
        <w:spacing w:before="0" w:beforeAutospacing="0" w:after="0" w:afterLines="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《一体式计算机政府采购需求标准（2023年版）》（财库〔2023〕31号）</w:t>
      </w:r>
    </w:p>
    <w:p w14:paraId="578E9E15">
      <w:pPr>
        <w:pStyle w:val="6"/>
        <w:pageBreakBefore w:val="0"/>
        <w:bidi w:val="0"/>
        <w:snapToGrid w:val="0"/>
        <w:spacing w:before="0" w:beforeAutospacing="0" w:after="0" w:afterLines="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《工作站政府采购需求标准（2023年版）》（财库〔2023〕32号）</w:t>
      </w:r>
    </w:p>
    <w:p w14:paraId="2BCD25FB">
      <w:pPr>
        <w:pStyle w:val="6"/>
        <w:pageBreakBefore w:val="0"/>
        <w:bidi w:val="0"/>
        <w:snapToGrid w:val="0"/>
        <w:spacing w:before="0" w:beforeAutospacing="0" w:after="0" w:afterLines="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《通用服务器政府采购需求标准（2023年版）》（财库〔2023〕33号）</w:t>
      </w:r>
    </w:p>
    <w:p w14:paraId="7F9A7153">
      <w:pPr>
        <w:pStyle w:val="6"/>
        <w:pageBreakBefore w:val="0"/>
        <w:bidi w:val="0"/>
        <w:snapToGrid w:val="0"/>
        <w:spacing w:before="0" w:beforeAutospacing="0" w:after="0" w:afterLines="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《操作系统政府采购需求标准（2023年版）》（财库〔2023〕34号）</w:t>
      </w:r>
    </w:p>
    <w:p w14:paraId="269A5E96">
      <w:pPr>
        <w:pStyle w:val="6"/>
        <w:pageBreakBefore w:val="0"/>
        <w:bidi w:val="0"/>
        <w:snapToGrid w:val="0"/>
        <w:spacing w:before="0" w:beforeAutospacing="0" w:after="0" w:afterLines="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《数据库政府采购需求标准（2023年版）》（财库〔2023〕35号）</w:t>
      </w:r>
    </w:p>
    <w:p w14:paraId="7BA4B297">
      <w:pPr>
        <w:pStyle w:val="6"/>
        <w:pageBreakBefore w:val="0"/>
        <w:bidi w:val="0"/>
        <w:snapToGrid w:val="0"/>
        <w:spacing w:before="0" w:beforeAutospacing="0" w:after="0" w:afterLines="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《物业管理服务政府采购需求标准（办公场所类）（试行）》（财办库〔2024〕113号）</w:t>
      </w:r>
    </w:p>
    <w:p w14:paraId="0D59927C">
      <w:pPr>
        <w:pageBreakBefore w:val="0"/>
        <w:bidi w:val="0"/>
        <w:snapToGrid w:val="0"/>
        <w:spacing w:afterLines="0" w:line="360" w:lineRule="auto"/>
        <w:contextualSpacing/>
        <w:rPr>
          <w:rFonts w:hint="eastAsia" w:ascii="黑体" w:hAnsi="黑体" w:eastAsia="黑体" w:cs="黑体"/>
          <w:sz w:val="24"/>
          <w:szCs w:val="24"/>
          <w:highlight w:val="none"/>
        </w:rPr>
      </w:pPr>
      <w:r>
        <w:rPr>
          <w:rFonts w:hint="eastAsia" w:ascii="黑体" w:hAnsi="黑体" w:eastAsia="黑体" w:cs="黑体"/>
          <w:sz w:val="24"/>
          <w:szCs w:val="24"/>
          <w:highlight w:val="none"/>
        </w:rPr>
        <w:t>如有更新或增加，以财政部门发布为准。</w:t>
      </w:r>
      <w:bookmarkEnd w:id="1"/>
      <w:bookmarkEnd w:id="2"/>
    </w:p>
    <w:p w14:paraId="4553091D">
      <w:pPr>
        <w:pStyle w:val="2"/>
        <w:snapToGrid w:val="0"/>
        <w:spacing w:before="0" w:afterLines="0" w:line="360" w:lineRule="auto"/>
        <w:rPr>
          <w:rFonts w:hint="eastAsia" w:ascii="黑体" w:hAnsi="黑体" w:eastAsia="黑体" w:cs="黑体"/>
          <w:sz w:val="24"/>
          <w:szCs w:val="24"/>
          <w:highlight w:val="none"/>
        </w:rPr>
      </w:pPr>
    </w:p>
    <w:p w14:paraId="7FE2EAA1">
      <w:pPr>
        <w:snapToGrid w:val="0"/>
        <w:spacing w:afterLines="0" w:line="360" w:lineRule="auto"/>
        <w:rPr>
          <w:rFonts w:hint="eastAsia" w:ascii="黑体" w:hAnsi="黑体" w:eastAsia="黑体" w:cs="黑体"/>
          <w:sz w:val="24"/>
          <w:szCs w:val="24"/>
          <w:highlight w:val="none"/>
        </w:rPr>
      </w:pPr>
    </w:p>
    <w:p w14:paraId="0E5599EA">
      <w:pPr>
        <w:pStyle w:val="2"/>
        <w:snapToGrid w:val="0"/>
        <w:spacing w:before="0" w:afterLines="0" w:line="360" w:lineRule="auto"/>
        <w:rPr>
          <w:rFonts w:hint="eastAsia" w:ascii="黑体" w:hAnsi="黑体" w:eastAsia="黑体" w:cs="黑体"/>
          <w:sz w:val="24"/>
          <w:szCs w:val="24"/>
          <w:highlight w:val="none"/>
        </w:rPr>
      </w:pPr>
    </w:p>
    <w:p w14:paraId="762407C5">
      <w:pPr>
        <w:snapToGrid w:val="0"/>
        <w:spacing w:afterLines="0" w:line="360" w:lineRule="auto"/>
        <w:rPr>
          <w:rFonts w:hint="eastAsia"/>
          <w:highlight w:val="none"/>
        </w:rPr>
      </w:pPr>
      <w:r>
        <w:rPr>
          <w:rFonts w:hint="eastAsia"/>
          <w:highlight w:val="none"/>
        </w:rPr>
        <w:br w:type="page"/>
      </w:r>
    </w:p>
    <w:p w14:paraId="6E130DAE">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一、采购标的</w:t>
      </w:r>
    </w:p>
    <w:p w14:paraId="75DA198F">
      <w:pPr>
        <w:keepNext w:val="0"/>
        <w:keepLines w:val="0"/>
        <w:snapToGrid w:val="0"/>
        <w:spacing w:afterLines="0"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犬类留检所宠物医院聘用项目标的预算经费</w:t>
      </w:r>
      <w:r>
        <w:rPr>
          <w:rFonts w:hint="eastAsia" w:ascii="仿宋" w:hAnsi="仿宋" w:eastAsia="仿宋" w:cs="仿宋"/>
          <w:color w:val="auto"/>
          <w:sz w:val="28"/>
          <w:szCs w:val="28"/>
          <w:highlight w:val="none"/>
          <w:lang w:val="en-US" w:eastAsia="zh-CN"/>
        </w:rPr>
        <w:t>47.8</w:t>
      </w:r>
      <w:r>
        <w:rPr>
          <w:rFonts w:hint="eastAsia" w:ascii="仿宋" w:hAnsi="仿宋" w:eastAsia="仿宋" w:cs="仿宋"/>
          <w:sz w:val="28"/>
          <w:szCs w:val="28"/>
          <w:highlight w:val="none"/>
          <w:lang w:val="en-US" w:eastAsia="zh-CN"/>
        </w:rPr>
        <w:t>万元，服务期限为2026年8月5日至2027年8月4日，团队人员含执业兽医师单人岗，兽医师助理岗（3人岗），工作日夜间及节假日全天不少于1人值班，具体工作安排听从采购方要求</w:t>
      </w:r>
      <w:r>
        <w:rPr>
          <w:rFonts w:hint="eastAsia" w:eastAsia="仿宋_GB2312" w:cs="Times New Roman"/>
          <w:sz w:val="24"/>
          <w:szCs w:val="24"/>
          <w:highlight w:val="none"/>
          <w:lang w:val="en-US" w:eastAsia="zh-CN"/>
        </w:rPr>
        <w:t>。</w:t>
      </w:r>
      <w:r>
        <w:rPr>
          <w:rFonts w:hint="eastAsia" w:ascii="仿宋" w:hAnsi="仿宋" w:eastAsia="仿宋" w:cs="仿宋"/>
          <w:sz w:val="28"/>
          <w:szCs w:val="28"/>
          <w:highlight w:val="none"/>
          <w:lang w:val="en-US" w:eastAsia="zh-CN"/>
        </w:rPr>
        <w:t>开展犬类留检所日常诊疗及防疫工作，重点犬只若犬类留检所不具备诊疗条件，需带至宠物医院开展诊疗工作。具体包括日常犬只饲养指导、收置犬只体检、犬只疾病防控诊疗、领养犬只绝育免疫、环境消毒</w:t>
      </w:r>
      <w:bookmarkStart w:id="3" w:name="_GoBack"/>
      <w:bookmarkEnd w:id="3"/>
      <w:r>
        <w:rPr>
          <w:rFonts w:hint="eastAsia" w:ascii="仿宋" w:hAnsi="仿宋" w:eastAsia="仿宋" w:cs="仿宋"/>
          <w:sz w:val="28"/>
          <w:szCs w:val="28"/>
          <w:highlight w:val="none"/>
          <w:lang w:val="en-US" w:eastAsia="zh-CN"/>
        </w:rPr>
        <w:t>防疫指导、文明养犬宣传教育、伤人犬狂犬病临床观察等工作。采购人所付投标人费用包含犬类留检所诊疗所需药品、耗材。</w:t>
      </w:r>
    </w:p>
    <w:p w14:paraId="49D706FC">
      <w:pPr>
        <w:keepNext w:val="0"/>
        <w:keepLines w:val="0"/>
        <w:snapToGrid w:val="0"/>
        <w:spacing w:afterLines="0" w:line="360" w:lineRule="auto"/>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color w:val="000000"/>
          <w:kern w:val="0"/>
          <w:sz w:val="28"/>
          <w:szCs w:val="28"/>
          <w:highlight w:val="none"/>
        </w:rPr>
        <w:t>★</w:t>
      </w:r>
      <w:r>
        <w:rPr>
          <w:rFonts w:hint="eastAsia" w:ascii="仿宋" w:hAnsi="仿宋" w:eastAsia="仿宋" w:cs="仿宋"/>
          <w:sz w:val="28"/>
          <w:szCs w:val="28"/>
          <w:highlight w:val="none"/>
          <w:lang w:val="en-US" w:eastAsia="zh-CN"/>
        </w:rPr>
        <w:t>兽医师持有《执业兽医师资格证书》，具有动物医学相关专业学习经历并且具有连续2年的兽医师工作经历。提供资格证书复印件及相关专业学历学位证书复印件和人员简历等材料并加盖投标人公章，不满足要求的视为无效投标。</w:t>
      </w:r>
    </w:p>
    <w:p w14:paraId="12895337">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二、商务要求</w:t>
      </w:r>
    </w:p>
    <w:p w14:paraId="03A8B39D">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（一）服务期限：为2026年8月5日至2027年8月4日止。</w:t>
      </w:r>
    </w:p>
    <w:p w14:paraId="206ED91B">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（二）服务地点：北京市公安局犬类留检所</w:t>
      </w:r>
    </w:p>
    <w:p w14:paraId="2D313FAF">
      <w:pPr>
        <w:pStyle w:val="3"/>
        <w:pageBreakBefore w:val="0"/>
        <w:kinsoku/>
        <w:wordWrap/>
        <w:overflowPunct/>
        <w:topLinePunct w:val="0"/>
        <w:autoSpaceDE/>
        <w:autoSpaceDN/>
        <w:bidi w:val="0"/>
        <w:adjustRightInd/>
        <w:snapToGrid w:val="0"/>
        <w:spacing w:before="0" w:after="0" w:afterLines="0" w:line="360" w:lineRule="auto"/>
        <w:ind w:left="0" w:firstLine="560" w:firstLineChars="200"/>
        <w:textAlignment w:val="auto"/>
        <w:rPr>
          <w:rFonts w:hint="eastAsia" w:ascii="仿宋" w:hAnsi="仿宋" w:eastAsia="仿宋" w:cs="仿宋"/>
          <w:b/>
          <w:i/>
          <w:sz w:val="28"/>
          <w:szCs w:val="28"/>
          <w:highlight w:val="none"/>
        </w:rPr>
      </w:pPr>
      <w:r>
        <w:rPr>
          <w:rFonts w:hint="eastAsia" w:ascii="仿宋" w:hAnsi="仿宋" w:eastAsia="仿宋" w:cs="仿宋"/>
          <w:b w:val="0"/>
          <w:bCs w:val="0"/>
          <w:kern w:val="2"/>
          <w:sz w:val="28"/>
          <w:szCs w:val="28"/>
          <w:highlight w:val="none"/>
          <w:lang w:val="en-US" w:eastAsia="zh-CN" w:bidi="ar-SA"/>
        </w:rPr>
        <w:t>（三）付款方式：</w:t>
      </w:r>
      <w:r>
        <w:rPr>
          <w:rFonts w:hint="eastAsia" w:ascii="仿宋" w:hAnsi="仿宋" w:eastAsia="仿宋" w:cs="仿宋"/>
          <w:sz w:val="28"/>
          <w:szCs w:val="28"/>
          <w:highlight w:val="none"/>
          <w:lang w:val="en-US" w:eastAsia="zh-CN"/>
        </w:rPr>
        <w:t>采购人于次月前5个工作日内核算上月实际服务费用清单（包括人员服务费、药品及耗材费），支付日期为投标人向采购人提供正式发票后10个工作日内；支付方式为银行转账或支票。（本合同约定的付款期限及付款方式、付款额度等以采购人获得经费审批为准，因经费未及时审批及拨款的不视为采购人违约。）</w:t>
      </w:r>
    </w:p>
    <w:p w14:paraId="14CBEF3A">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三、技术要求</w:t>
      </w:r>
    </w:p>
    <w:p w14:paraId="466E1B24">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 基本要求</w:t>
      </w:r>
    </w:p>
    <w:p w14:paraId="2F2E09CD">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1.投标人应严格遵守国家及北京市的各项法律法规，承诺为采购人提供专业、规范、安全、高质量的服务。</w:t>
      </w:r>
    </w:p>
    <w:p w14:paraId="7973375D">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2.投标人应提前组织入职人员进行狂犬病暴露前免疫。</w:t>
      </w:r>
    </w:p>
    <w:p w14:paraId="3CE6BC8E">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w:t>
      </w:r>
      <w:r>
        <w:rPr>
          <w:rFonts w:hint="eastAsia" w:ascii="仿宋" w:hAnsi="仿宋" w:eastAsia="仿宋" w:cs="仿宋"/>
          <w:color w:val="auto"/>
          <w:sz w:val="28"/>
          <w:szCs w:val="28"/>
          <w:highlight w:val="none"/>
          <w:lang w:val="en-US" w:eastAsia="zh-CN"/>
        </w:rPr>
        <w:t>投标人应严格遵守采购人相关保密规定，定期开展员工保密教育及相关培训。严禁工作人员将犬类留检所工作内容或工作场景泄露给其他单位或个人。</w:t>
      </w:r>
    </w:p>
    <w:p w14:paraId="77B44DE4">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（二）职责任务</w:t>
      </w:r>
    </w:p>
    <w:p w14:paraId="35D9D23E">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1.负责犬类留检所收置犬只的疾病诊断、诊疗。</w:t>
      </w:r>
    </w:p>
    <w:p w14:paraId="512934A7">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2.负责犬类留检所内犬只日常的巡检及疾病监控，形成工作记录。</w:t>
      </w:r>
    </w:p>
    <w:p w14:paraId="59E7736E">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3.负责犬类留检所内犬只免疫工作。</w:t>
      </w:r>
    </w:p>
    <w:p w14:paraId="4DEC65CE">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4.负责部分犬只的绝育工作。</w:t>
      </w:r>
    </w:p>
    <w:p w14:paraId="56909940">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5.负责对伤人检疫犬实施临床观察，建立观察档案，出具观察报告。</w:t>
      </w:r>
    </w:p>
    <w:p w14:paraId="1337CC43">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6.负责配合采购人开展犬疾病防治宣传工作。</w:t>
      </w:r>
    </w:p>
    <w:p w14:paraId="23D9AC69">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7.负责指导饲养岗位工作人员落实日常工作，科学的饲养犬只。</w:t>
      </w:r>
    </w:p>
    <w:p w14:paraId="527F4E82">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8.负责指导犬类留检所工作人员落实防疫消杀工作，提升犬类留检所疫病防控水平。</w:t>
      </w:r>
    </w:p>
    <w:p w14:paraId="03A0A53D">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9.负责协助开展犬只领养、认领工作。</w:t>
      </w:r>
    </w:p>
    <w:p w14:paraId="2824BBE8">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10.采购人安排的涉及兽医职责的其他工作。</w:t>
      </w:r>
    </w:p>
    <w:p w14:paraId="46ACBECC">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（三） 验收标准</w:t>
      </w:r>
    </w:p>
    <w:p w14:paraId="314E038E">
      <w:pPr>
        <w:keepNext w:val="0"/>
        <w:keepLines w:val="0"/>
        <w:pageBreakBefore w:val="0"/>
        <w:widowControl w:val="0"/>
        <w:kinsoku/>
        <w:wordWrap/>
        <w:overflowPunct/>
        <w:topLinePunct w:val="0"/>
        <w:autoSpaceDE/>
        <w:autoSpaceDN/>
        <w:bidi w:val="0"/>
        <w:adjustRightInd/>
        <w:snapToGrid w:val="0"/>
        <w:spacing w:afterLines="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完成犬类留检所日常工作及采购人交办事项。</w:t>
      </w:r>
    </w:p>
    <w:p w14:paraId="15A2758F">
      <w:pPr>
        <w:pStyle w:val="2"/>
        <w:pageBreakBefore w:val="0"/>
        <w:numPr>
          <w:ilvl w:val="0"/>
          <w:numId w:val="0"/>
        </w:numPr>
        <w:kinsoku/>
        <w:wordWrap/>
        <w:overflowPunct/>
        <w:topLinePunct w:val="0"/>
        <w:autoSpaceDE/>
        <w:autoSpaceDN/>
        <w:bidi w:val="0"/>
        <w:adjustRightInd/>
        <w:snapToGrid w:val="0"/>
        <w:spacing w:before="0" w:afterLines="0" w:line="360" w:lineRule="auto"/>
        <w:ind w:firstLine="560" w:firstLineChars="200"/>
        <w:jc w:val="both"/>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（四）其他要求</w:t>
      </w:r>
    </w:p>
    <w:p w14:paraId="696C0A75">
      <w:pPr>
        <w:pStyle w:val="2"/>
        <w:pageBreakBefore w:val="0"/>
        <w:numPr>
          <w:ilvl w:val="0"/>
          <w:numId w:val="0"/>
        </w:numPr>
        <w:kinsoku/>
        <w:wordWrap/>
        <w:overflowPunct/>
        <w:topLinePunct w:val="0"/>
        <w:autoSpaceDE/>
        <w:autoSpaceDN/>
        <w:bidi w:val="0"/>
        <w:adjustRightInd/>
        <w:snapToGrid w:val="0"/>
        <w:spacing w:before="0" w:afterLines="0" w:line="360" w:lineRule="auto"/>
        <w:ind w:firstLine="560" w:firstLineChars="200"/>
        <w:jc w:val="both"/>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1.采购人诊疗所需药品、耗材等根据工作实</w:t>
      </w:r>
      <w:r>
        <w:rPr>
          <w:rFonts w:hint="eastAsia" w:ascii="仿宋" w:hAnsi="仿宋" w:eastAsia="仿宋" w:cs="仿宋"/>
          <w:b w:val="0"/>
          <w:bCs w:val="0"/>
          <w:color w:val="auto"/>
          <w:kern w:val="2"/>
          <w:sz w:val="28"/>
          <w:szCs w:val="28"/>
          <w:highlight w:val="none"/>
          <w:lang w:val="en-US" w:eastAsia="zh-CN" w:bidi="ar-SA"/>
        </w:rPr>
        <w:t>际需要由投标人提供。投标人应当明确各类兽用药品存储地点。具体常备药品、耗材品类、数量可参考如下：</w:t>
      </w:r>
    </w:p>
    <w:tbl>
      <w:tblPr>
        <w:tblStyle w:val="4"/>
        <w:tblW w:w="92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5"/>
        <w:gridCol w:w="2353"/>
        <w:gridCol w:w="995"/>
        <w:gridCol w:w="971"/>
        <w:gridCol w:w="660"/>
        <w:gridCol w:w="1534"/>
        <w:gridCol w:w="1054"/>
        <w:gridCol w:w="1054"/>
      </w:tblGrid>
      <w:tr w14:paraId="1F03F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E3076">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序号</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693E6">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药品名称</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2E665">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单位</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F6FB0">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数量</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6BE92">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序号</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DB361">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药品名称</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077D8">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单位</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3E832">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数量</w:t>
            </w:r>
          </w:p>
        </w:tc>
      </w:tr>
      <w:tr w14:paraId="6F594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5E87F">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EE2C3">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犬瘟试纸卡</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EC2CC">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个</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D72CA">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300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73D60">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17</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3A07D">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酒精</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2997A">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瓶</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FE8DB">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80</w:t>
            </w:r>
          </w:p>
        </w:tc>
      </w:tr>
      <w:tr w14:paraId="4E785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065AA">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EAC20">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细小试纸卡</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75E76">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个</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DDF90">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300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A1838">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18</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64A1">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手术手套</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FBFBF">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双</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19947">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600</w:t>
            </w:r>
          </w:p>
        </w:tc>
      </w:tr>
      <w:tr w14:paraId="10C22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F38AC">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3</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E7121">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冠状试纸卡</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F852A">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个</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6504C">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300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BFC55">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19</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6465B">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犬瘟抑制蛋白</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11FC0">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盒</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CF597">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5</w:t>
            </w:r>
          </w:p>
        </w:tc>
      </w:tr>
      <w:tr w14:paraId="7A851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ADB28">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4</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5937D">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绝育麻药（异氟烷）</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4CC5C">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瓶</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07998">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24</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3EABD">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20</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A9042">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细小抑制蛋白</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F5EFB">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盒</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7ECA1">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5</w:t>
            </w:r>
          </w:p>
        </w:tc>
      </w:tr>
      <w:tr w14:paraId="4813B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2DF68">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5</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E86D1">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绝育麻药（丙泊酚）</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0C75E">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支</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B07F7">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300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27222">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21</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C6207">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胃溃宁</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363F1">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片</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AD496">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100</w:t>
            </w:r>
          </w:p>
        </w:tc>
      </w:tr>
      <w:tr w14:paraId="57CAD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FF3DB">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6</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02124">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缝合线</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21678">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根</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5639E">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300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31431">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22</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C71BC">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咳喘宁</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55F4F">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片</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8D10E">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900</w:t>
            </w:r>
          </w:p>
        </w:tc>
      </w:tr>
      <w:tr w14:paraId="23659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DDA47">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7</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28871">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头孢噻呋钠</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74CA1">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支</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7730E">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600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166A0">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23</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6BC6A">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宠立维</w:t>
            </w:r>
            <w:r>
              <w:rPr>
                <w:rStyle w:val="7"/>
                <w:rFonts w:hint="eastAsia" w:ascii="仿宋" w:hAnsi="仿宋" w:eastAsia="仿宋" w:cs="仿宋"/>
                <w:b/>
                <w:bCs/>
                <w:sz w:val="24"/>
                <w:szCs w:val="24"/>
                <w:highlight w:val="none"/>
                <w:lang w:val="en-US" w:eastAsia="zh-CN" w:bidi="ar"/>
              </w:rPr>
              <w:t>75mg</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3A5C7">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盒</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B4C95">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5</w:t>
            </w:r>
          </w:p>
        </w:tc>
      </w:tr>
      <w:tr w14:paraId="63BF0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65B17">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8</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30191">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强力止泻片</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E9CC3">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73C0A">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6707A">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24</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B9A89">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宠立维</w:t>
            </w:r>
            <w:r>
              <w:rPr>
                <w:rStyle w:val="7"/>
                <w:rFonts w:hint="eastAsia" w:ascii="仿宋" w:hAnsi="仿宋" w:eastAsia="仿宋" w:cs="仿宋"/>
                <w:b/>
                <w:bCs/>
                <w:sz w:val="24"/>
                <w:szCs w:val="24"/>
                <w:highlight w:val="none"/>
                <w:lang w:val="en-US" w:eastAsia="zh-CN" w:bidi="ar"/>
              </w:rPr>
              <w:t>300mg</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1B5C2">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盒</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78E62">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10</w:t>
            </w:r>
          </w:p>
        </w:tc>
      </w:tr>
      <w:tr w14:paraId="5FBF5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7F102">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9</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BCE47">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科特壮</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B138C">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瓶</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DC62B">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A89CF">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25</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FA397">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宠立维600mg</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1F309">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盒</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275B1">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10</w:t>
            </w:r>
          </w:p>
        </w:tc>
      </w:tr>
      <w:tr w14:paraId="4FF8C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ED336">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10</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58C67">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痛立定</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95E7">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瓶</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CC121">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E0462">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26</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61153">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益生菌</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1ACC2">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盒</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DBF06">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100</w:t>
            </w:r>
          </w:p>
        </w:tc>
      </w:tr>
      <w:tr w14:paraId="4B3E1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D0A7C">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11</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4C088">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血常规试剂</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9979F">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套</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39288">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20D16">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27</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2046B">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拜宠清</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2F334">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片</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3FFEF">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100</w:t>
            </w:r>
          </w:p>
        </w:tc>
      </w:tr>
      <w:tr w14:paraId="7FB7A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02E90">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12</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0A567">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生化试剂盘</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F1508">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个</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1CCDE">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C8E49">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28</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E5E3F">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干扰素</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1DC40">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盒</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B8376">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5</w:t>
            </w:r>
          </w:p>
        </w:tc>
      </w:tr>
      <w:tr w14:paraId="2EE79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F08AD">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13</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1B8D9">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四联疫苗</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00281">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份</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F2705">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300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A6830">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29</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B8E80">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地塞米松</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5E646">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盒</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53C4C">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4</w:t>
            </w:r>
          </w:p>
        </w:tc>
      </w:tr>
      <w:tr w14:paraId="480EF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3FA46">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14</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832C4">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犬瘟单克隆抗体</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D3EF3">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盒</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85839">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80AC2">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30</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63417">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氨茶碱</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7CD03">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盒</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42853">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10</w:t>
            </w:r>
          </w:p>
        </w:tc>
      </w:tr>
      <w:tr w14:paraId="1754D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8A712">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15</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F24DA">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细小单克隆抗体</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900D5">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盒</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3644C">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9C661">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31</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07F84">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拜有利</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6D5B0">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瓶</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9CDFA">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6</w:t>
            </w:r>
          </w:p>
        </w:tc>
      </w:tr>
      <w:tr w14:paraId="542EE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8FCA5">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16</w:t>
            </w:r>
          </w:p>
        </w:tc>
        <w:tc>
          <w:tcPr>
            <w:tcW w:w="2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F4278">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冠状单克隆抗体</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3AD32">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盒</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EFCBD">
            <w:pPr>
              <w:keepNext w:val="0"/>
              <w:keepLines w:val="0"/>
              <w:pageBreakBefore w:val="0"/>
              <w:widowControl/>
              <w:suppressLineNumbers w:val="0"/>
              <w:kinsoku/>
              <w:wordWrap/>
              <w:overflowPunct/>
              <w:topLinePunct w:val="0"/>
              <w:autoSpaceDE/>
              <w:autoSpaceDN/>
              <w:bidi w:val="0"/>
              <w:adjustRightInd/>
              <w:snapToGrid w:val="0"/>
              <w:spacing w:afterLines="0"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5</w:t>
            </w:r>
          </w:p>
        </w:tc>
        <w:tc>
          <w:tcPr>
            <w:tcW w:w="430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67854">
            <w:pPr>
              <w:pageBreakBefore w:val="0"/>
              <w:kinsoku/>
              <w:wordWrap/>
              <w:overflowPunct/>
              <w:topLinePunct w:val="0"/>
              <w:autoSpaceDE/>
              <w:autoSpaceDN/>
              <w:bidi w:val="0"/>
              <w:adjustRightInd/>
              <w:snapToGrid w:val="0"/>
              <w:spacing w:afterLines="0" w:line="360" w:lineRule="auto"/>
              <w:jc w:val="center"/>
              <w:rPr>
                <w:rFonts w:hint="eastAsia" w:ascii="仿宋" w:hAnsi="仿宋" w:eastAsia="仿宋" w:cs="仿宋"/>
                <w:b/>
                <w:bCs/>
                <w:i w:val="0"/>
                <w:iCs w:val="0"/>
                <w:color w:val="000000"/>
                <w:sz w:val="24"/>
                <w:szCs w:val="24"/>
                <w:highlight w:val="none"/>
                <w:u w:val="none"/>
                <w:lang w:eastAsia="zh-CN"/>
              </w:rPr>
            </w:pPr>
            <w:r>
              <w:rPr>
                <w:rFonts w:hint="eastAsia" w:ascii="仿宋" w:hAnsi="仿宋" w:eastAsia="仿宋" w:cs="仿宋"/>
                <w:b/>
                <w:bCs/>
                <w:i w:val="0"/>
                <w:iCs w:val="0"/>
                <w:color w:val="000000"/>
                <w:sz w:val="24"/>
                <w:szCs w:val="24"/>
                <w:highlight w:val="none"/>
                <w:u w:val="none"/>
                <w:lang w:eastAsia="zh-CN"/>
              </w:rPr>
              <w:t>——————</w:t>
            </w:r>
          </w:p>
        </w:tc>
      </w:tr>
    </w:tbl>
    <w:p w14:paraId="38A0F804">
      <w:pPr>
        <w:snapToGrid w:val="0"/>
        <w:spacing w:afterLines="0" w:line="360" w:lineRule="auto"/>
        <w:ind w:firstLine="560" w:firstLineChars="200"/>
        <w:rPr>
          <w:rFonts w:hint="eastAsia"/>
          <w:highlight w:val="none"/>
        </w:rPr>
      </w:pPr>
      <w:r>
        <w:rPr>
          <w:rFonts w:hint="eastAsia" w:ascii="仿宋" w:hAnsi="仿宋" w:eastAsia="仿宋" w:cs="仿宋"/>
          <w:sz w:val="28"/>
          <w:szCs w:val="28"/>
          <w:highlight w:val="none"/>
          <w:lang w:val="en-US" w:eastAsia="zh-CN"/>
        </w:rPr>
        <w:t>2.投标人应在投标阶段，根据本项目采购需求的要求，提供：医疗处置方案、日常培训及训练组织方案、保密措施解决方案、项目团队、人员排班方案等内容。其中日常培训及训练组织方案应至少包括：日常业务培训，各类突发事件处置2项内容。</w:t>
      </w:r>
    </w:p>
    <w:p w14:paraId="676500F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EC430E"/>
    <w:rsid w:val="09EC4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tabs>
        <w:tab w:val="left" w:pos="567"/>
      </w:tabs>
      <w:spacing w:before="120" w:line="22" w:lineRule="atLeast"/>
    </w:pPr>
    <w:rPr>
      <w:rFonts w:ascii="宋体" w:hAnsi="宋体"/>
      <w:sz w:val="24"/>
    </w:rPr>
  </w:style>
  <w:style w:type="paragraph" w:customStyle="1" w:styleId="6">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7">
    <w:name w:val="font31"/>
    <w:basedOn w:val="5"/>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2026-05-21T09:35:00Z</dcterms:created>
  <dc:creator>亚希Edison</dc:creator>
  <cp:lastModifiedBy>亚希Edison</cp:lastModifiedBy>
  <dcterms:modified xsi:type="dcterms:W3CDTF">2026-05-21T09:36:54Z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AC1B96A1A5AF4973B918A924C2738369_11</vt:lpwstr>
  </property>
  <property fmtid="{D5CDD505-2E9C-101B-9397-08002B2CF9AE}" pid="4" name="KSOTemplateDocerSaveRecord">
    <vt:lpwstr>eyJoZGlkIjoiNDY0MzQwNDM3NzMyOTAwZGViMTFjZmY0M2U4NTllMzgiLCJ1c2VySWQiOiIyNjk3ODg1OTAifQ==</vt:lpwstr>
  </property>
</Properties>
</file>